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56" w:rsidRDefault="00EE1056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16 августа 2018 г. N 51910</w:t>
      </w:r>
    </w:p>
    <w:p w:rsidR="00EE1056" w:rsidRDefault="00EE10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Title"/>
        <w:jc w:val="center"/>
      </w:pPr>
      <w:r>
        <w:t>МИНИСТЕРСТВО ТРАНСПОРТА РОССИЙСКОЙ ФЕДЕРАЦИИ</w:t>
      </w:r>
    </w:p>
    <w:p w:rsidR="00EE1056" w:rsidRDefault="00EE1056">
      <w:pPr>
        <w:pStyle w:val="ConsPlusTitle"/>
        <w:jc w:val="both"/>
      </w:pPr>
    </w:p>
    <w:p w:rsidR="00EE1056" w:rsidRDefault="00EE1056">
      <w:pPr>
        <w:pStyle w:val="ConsPlusTitle"/>
        <w:jc w:val="center"/>
      </w:pPr>
      <w:r>
        <w:t>ПРИКАЗ</w:t>
      </w:r>
    </w:p>
    <w:p w:rsidR="00EE1056" w:rsidRDefault="00EE1056">
      <w:pPr>
        <w:pStyle w:val="ConsPlusTitle"/>
        <w:jc w:val="center"/>
      </w:pPr>
      <w:r>
        <w:t>от 24 июля 2018 г. N 270</w:t>
      </w:r>
    </w:p>
    <w:p w:rsidR="00EE1056" w:rsidRDefault="00EE1056">
      <w:pPr>
        <w:pStyle w:val="ConsPlusTitle"/>
        <w:jc w:val="both"/>
      </w:pPr>
    </w:p>
    <w:p w:rsidR="00EE1056" w:rsidRDefault="00EE1056">
      <w:pPr>
        <w:pStyle w:val="ConsPlusTitle"/>
        <w:jc w:val="center"/>
      </w:pPr>
      <w:r>
        <w:t>ОБ УТВЕРЖДЕНИИ ПРАВИЛ</w:t>
      </w:r>
    </w:p>
    <w:p w:rsidR="00EE1056" w:rsidRDefault="00EE1056">
      <w:pPr>
        <w:pStyle w:val="ConsPlusTitle"/>
        <w:jc w:val="center"/>
      </w:pPr>
      <w:r>
        <w:t xml:space="preserve">ДВИЖЕНИЯ И СТОЯНКИ СУДОВ В </w:t>
      </w:r>
      <w:proofErr w:type="gramStart"/>
      <w:r>
        <w:t>ВОЛГО-ДОНСКОМ</w:t>
      </w:r>
      <w:proofErr w:type="gramEnd"/>
      <w:r>
        <w:t xml:space="preserve"> БАССЕЙНЕ</w:t>
      </w:r>
    </w:p>
    <w:p w:rsidR="00EE1056" w:rsidRDefault="00EE1056">
      <w:pPr>
        <w:pStyle w:val="ConsPlusTitle"/>
        <w:jc w:val="center"/>
      </w:pPr>
      <w:r>
        <w:t>ВНУТРЕННИХ ВОДНЫХ ПУТЕЙ РОССИЙСКОЙ ФЕДЕРАЦИИ</w:t>
      </w: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5">
        <w:r>
          <w:rPr>
            <w:color w:val="0000FF"/>
          </w:rPr>
          <w:t>пунктом 3 статьи 34</w:t>
        </w:r>
      </w:hyperlink>
      <w:r>
        <w:t xml:space="preserve"> Федерального закона от 7 марта 2001 г. N 24-ФЗ "Кодекс внутреннего водного транспорта Российской Федерации" (Собрание законодательства Российской Федерации, 2001, N 11, ст. 1001; 2003, N 14, ст. 1256, N 27, ст. 2700; 2004, N 27, ст. 2711; 2006, N 50, ст. 5279, N 52, ст. 5498;</w:t>
      </w:r>
      <w:proofErr w:type="gramEnd"/>
      <w:r>
        <w:t xml:space="preserve"> 2007, N 27, ст. 3213, N 46, ст. 5554, 5557, N 50, ст. 6246; 2008, N 29, ст. 3418, N 30, ст. 3616; 2009, N 1, ст. 30, N 18, ст. 2141, N 29, ст. 3625, N 52, ст. 6450; 2011, N 15, ст. 2020, N 27, ст. 3880, N 29, ст. 4294, N 30, ст. 4577, 4590, 4591, 4594, 4596, N 45, ст. 6333, 6335; 2012, N 18, ст. 2128, N 25, ст. 3268, N 26, ст. 3446, N 31, ст. 4320; 2013, N 27, ст. 3477; </w:t>
      </w:r>
      <w:proofErr w:type="gramStart"/>
      <w:r>
        <w:t>2014, N 6, ст. 566, N 42, ст. 5615, N 45, ст. 6153, N 49, ст. 6928; 2015, N 1, ст. 55, N 29, ст. 4356, 4359; 2016, N 11, ст. 1478, N 27, ст. 4300; 2017, N 27, ст. 3945, N 52, ст. 7923; 2018, N 1, ст. 34) приказываю:</w:t>
      </w:r>
      <w:proofErr w:type="gramEnd"/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27">
        <w:r>
          <w:rPr>
            <w:color w:val="0000FF"/>
          </w:rPr>
          <w:t>Правила</w:t>
        </w:r>
      </w:hyperlink>
      <w:r>
        <w:t xml:space="preserve"> движения и стоянки судов в Волго-Донском бассейне внутренних водных путей Российской Федерации.</w:t>
      </w: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right"/>
      </w:pPr>
      <w:r>
        <w:t>Министр</w:t>
      </w:r>
    </w:p>
    <w:p w:rsidR="00EE1056" w:rsidRDefault="00EE1056">
      <w:pPr>
        <w:pStyle w:val="ConsPlusNormal"/>
        <w:jc w:val="right"/>
      </w:pPr>
      <w:r>
        <w:t>Е.И.ДИТРИХ</w:t>
      </w: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right"/>
        <w:outlineLvl w:val="0"/>
      </w:pPr>
      <w:r>
        <w:t>Утверждены</w:t>
      </w:r>
    </w:p>
    <w:p w:rsidR="00EE1056" w:rsidRDefault="00EE1056">
      <w:pPr>
        <w:pStyle w:val="ConsPlusNormal"/>
        <w:jc w:val="right"/>
      </w:pPr>
      <w:r>
        <w:t>приказом Минтранса России</w:t>
      </w:r>
    </w:p>
    <w:p w:rsidR="00EE1056" w:rsidRDefault="00EE1056">
      <w:pPr>
        <w:pStyle w:val="ConsPlusNormal"/>
        <w:jc w:val="right"/>
      </w:pPr>
      <w:r>
        <w:t>от 24 июля 2018 г. N 270</w:t>
      </w: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Title"/>
        <w:jc w:val="center"/>
      </w:pPr>
      <w:bookmarkStart w:id="1" w:name="P27"/>
      <w:bookmarkEnd w:id="1"/>
      <w:r>
        <w:t>ПРАВИЛА</w:t>
      </w:r>
    </w:p>
    <w:p w:rsidR="00EE1056" w:rsidRDefault="00EE1056">
      <w:pPr>
        <w:pStyle w:val="ConsPlusTitle"/>
        <w:jc w:val="center"/>
      </w:pPr>
      <w:r>
        <w:t xml:space="preserve">ДВИЖЕНИЯ И СТОЯНКИ СУДОВ В </w:t>
      </w:r>
      <w:proofErr w:type="gramStart"/>
      <w:r>
        <w:t>ВОЛГО-ДОНСКОМ</w:t>
      </w:r>
      <w:proofErr w:type="gramEnd"/>
      <w:r>
        <w:t xml:space="preserve"> БАССЕЙНЕ</w:t>
      </w:r>
    </w:p>
    <w:p w:rsidR="00EE1056" w:rsidRDefault="00EE1056">
      <w:pPr>
        <w:pStyle w:val="ConsPlusTitle"/>
        <w:jc w:val="center"/>
      </w:pPr>
      <w:r>
        <w:t>ВНУТРЕННИХ ВОДНЫХ ПУТЕЙ РОССИЙСКОЙ ФЕДЕРАЦИИ</w:t>
      </w: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Правила движения и стоянки судов в Волго-Донском бассейне внутренних водных путей Российской Федерации (далее - Правила) разработаны в соответствии с </w:t>
      </w:r>
      <w:hyperlink r:id="rId6">
        <w:r>
          <w:rPr>
            <w:color w:val="0000FF"/>
          </w:rPr>
          <w:t>пунктом 3 статьи 34</w:t>
        </w:r>
      </w:hyperlink>
      <w:r>
        <w:t xml:space="preserve"> Федерального закона от 7 марта 2001 г. N 24-ФЗ "Кодекс внутреннего водного транспорта Российской Федерации" и определяют порядок движения и стоянки судов, осуществляющих судоходство в Волго-Донском бассейне внутренних водных путей (далее - ВВП Волго-Донского бассейна).</w:t>
      </w:r>
      <w:proofErr w:type="gramEnd"/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Скорость движения судов (составов) по искусственным (2588,6 км реки Волги - 2618,8 км Волго-Донского судоходного канала имени В.И. Ленина (далее - ВДСК); 2635,7 км - 2637,8 км ВДСК; 2644,9 км - 2669,9 км ВДСК; 2683,0 км ВДСК - 2689,0 км реки Дон; 2869,0 км - 2875,6 км реки Дон) участкам Волго-Донского судоходного канала (далее - искусственные участки ВДСК) не должна превышать:</w:t>
      </w:r>
      <w:proofErr w:type="gramEnd"/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7 км/час для судов (составов) грузоподъемностью более 3000 тонн, а также для одиночных </w:t>
      </w:r>
      <w:r>
        <w:lastRenderedPageBreak/>
        <w:t>толкачей, буксиров, мощностью более 1764 кВт;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8 км/час для судов (составов) грузоподъемностью от 2000 до 3000 тонн, а также для одиночных толкачей, буксиров, мощностью от 1470 до 1764 кВт;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11 км/час для судов (кроме судов на подводных крыльях) (составов) грузоподъемностью менее 2000 тонн, а также для одиночных толкачей, буксиров мощностью менее 1470 кВт.</w:t>
      </w:r>
    </w:p>
    <w:p w:rsidR="00EE1056" w:rsidRDefault="00EE1056">
      <w:pPr>
        <w:pStyle w:val="ConsPlusNormal"/>
        <w:spacing w:before="220"/>
        <w:ind w:firstLine="540"/>
        <w:jc w:val="both"/>
      </w:pPr>
      <w:bookmarkStart w:id="2" w:name="P36"/>
      <w:bookmarkEnd w:id="2"/>
      <w:r>
        <w:t xml:space="preserve">3. Толкаемые и буксируемые составы должны осуществлять движение в соответствии с типовыми схемами формирования составов, указанными в </w:t>
      </w:r>
      <w:hyperlink w:anchor="P97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Движение составов, отличающихся по своим техническим характеристикам от типовых схем формирования составов, указанных в </w:t>
      </w:r>
      <w:hyperlink w:anchor="P36">
        <w:r>
          <w:rPr>
            <w:color w:val="0000FF"/>
          </w:rPr>
          <w:t>абзаце первом</w:t>
        </w:r>
      </w:hyperlink>
      <w:r>
        <w:t xml:space="preserve"> настоящего пункта, осуществляется по согласованию с федеральным бюджетным учреждением "Администрация Волго-Донского бассейна внутренних водных путей" (далее - АБВВП).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4. Стоянка судов (составов) на искусственных участках ВДСК разрешается только на следующих отведенных для этого якорных стоянках: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2591,5 км ВДСК;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2603,55 км ВДСК;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2605,6 км ВДСК;</w:t>
      </w:r>
    </w:p>
    <w:p w:rsidR="00EE1056" w:rsidRDefault="00EE1056">
      <w:pPr>
        <w:pStyle w:val="ConsPlusNormal"/>
        <w:spacing w:before="220"/>
        <w:ind w:firstLine="540"/>
        <w:jc w:val="both"/>
      </w:pPr>
      <w:proofErr w:type="spellStart"/>
      <w:r>
        <w:t>Варваровское</w:t>
      </w:r>
      <w:proofErr w:type="spellEnd"/>
      <w:r>
        <w:t xml:space="preserve"> водохранилище: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2629,0 км ВДСК;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2634,0 км ВДСК;</w:t>
      </w:r>
    </w:p>
    <w:p w:rsidR="00EE1056" w:rsidRDefault="00EE1056">
      <w:pPr>
        <w:pStyle w:val="ConsPlusNormal"/>
        <w:spacing w:before="220"/>
        <w:ind w:firstLine="540"/>
        <w:jc w:val="both"/>
      </w:pPr>
      <w:proofErr w:type="spellStart"/>
      <w:r>
        <w:t>Береславское</w:t>
      </w:r>
      <w:proofErr w:type="spellEnd"/>
      <w:r>
        <w:t xml:space="preserve"> водохранилище: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2644,4 км ВДСК;</w:t>
      </w:r>
    </w:p>
    <w:p w:rsidR="00EE1056" w:rsidRDefault="00EE1056">
      <w:pPr>
        <w:pStyle w:val="ConsPlusNormal"/>
        <w:spacing w:before="220"/>
        <w:ind w:firstLine="540"/>
        <w:jc w:val="both"/>
      </w:pPr>
      <w:proofErr w:type="spellStart"/>
      <w:r>
        <w:t>Карповское</w:t>
      </w:r>
      <w:proofErr w:type="spellEnd"/>
      <w:r>
        <w:t xml:space="preserve"> водохранилище: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2682,5 км ВДСК.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5. Судоводитель должен информировать о маршруте следования судна (состава), а также согласовывать выход судна (состава) в Цимлянское водохранилище (2688,6 км - 2875,6 км ВДСК) на 22 канале УКВ радиосвязи с диспетчером: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Донского района гидросооружений и судоходства - филиала АБВВП, расположенного в поселке </w:t>
      </w:r>
      <w:proofErr w:type="spellStart"/>
      <w:r>
        <w:t>Пятиморск</w:t>
      </w:r>
      <w:proofErr w:type="spellEnd"/>
      <w:r>
        <w:t xml:space="preserve"> (2682,5 км реки Дон), при следовании со стороны ВДСК или Калачевского порта - при подходе к </w:t>
      </w:r>
      <w:proofErr w:type="spellStart"/>
      <w:r>
        <w:t>Пятиизбянским</w:t>
      </w:r>
      <w:proofErr w:type="spellEnd"/>
      <w:r>
        <w:t xml:space="preserve"> рейдам (2694,0 км реки Дон);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Цимлянского района гидросооружений и судоходства - филиала АБВВП, расположенного на 2870,1 км реки Дон (шлюз N 14), при следовании со стороны города Волгодонска (2869,0 км реки Дон).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6. Надводная высота судов (составов) при следовании от города Волгограда (2588,6 км реки Волги) до устья 132 канала (2875,5 км реки Дон) не должна превышать 14,0 м.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При одновременном подходе к устьевой части подходных каналов шлюзов N 13 (2689,0 км реки Дон) и N 15 (2875,6 км реки Дон) нескольких судов (составов) сверху и снизу по реке Дон, а также со стороны шлюза первым должно проходить судно (состав), следующее (следующий) со </w:t>
      </w:r>
      <w:r>
        <w:lastRenderedPageBreak/>
        <w:t>стороны канала, а после этого судно (состав), следующее (следующий) сверху по течению реки Дон.</w:t>
      </w:r>
      <w:proofErr w:type="gramEnd"/>
    </w:p>
    <w:p w:rsidR="00EE1056" w:rsidRDefault="00EE1056">
      <w:pPr>
        <w:pStyle w:val="ConsPlusNormal"/>
        <w:spacing w:before="220"/>
        <w:ind w:firstLine="540"/>
        <w:jc w:val="both"/>
      </w:pPr>
      <w:r>
        <w:t>8. Движение груженых составов сверху под Темрюкским автодорожным мостом (9,6 км реки Кубань) осуществляется в светлое время суток.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9. Движение груженых составов снизу под железнодорожным (228,0 км реки Кубани) и автодорожным (227,8 км реки Кубани) мостами в городе Краснодаре осуществляется в светлое время суток в сопровождении вспомогательного буксира.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10. Пропуск маломерных, прогулочных и спортивных парусных судов через шлюзы, расположенные на ВВП Волго-Донского бассейна, осуществляется в светлое время суток, за исключением маломерных судов, классификацию и освидетельствование которых осуществляет организация, уполномоченная федеральным органом исполнительной власти в области транспорта &lt;1&gt;.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со </w:t>
      </w:r>
      <w:hyperlink r:id="rId7">
        <w:r>
          <w:rPr>
            <w:color w:val="0000FF"/>
          </w:rPr>
          <w:t>статьей 35</w:t>
        </w:r>
      </w:hyperlink>
      <w:r>
        <w:t xml:space="preserve"> Кодекса внутреннего водного транспорта Российской Федерации.</w:t>
      </w: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ind w:firstLine="540"/>
        <w:jc w:val="both"/>
      </w:pPr>
      <w:r>
        <w:t>Очередность шлюзования маломерных, прогулочных и спортивных парусных судов устанавливается по времени подхода к шлюзу.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Маломерные, прогулочные и спортивные парусные суда, не имеющие движителей (в том числе гребные и парусные суда), допускаются к шлюзованию только совместно с буксирующим их судном.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При отсутствии судов (составов), следующих на шлюзование, пропуск маломерных, прогулочных и спортивных парусных судов через шлюз допускается по решению диспетчера шлюза при проведении холостого наполнения или холостого опорожнения шлюза.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Маломерные, прогулочные и спортивные парусные суда должны ожидать шлюзования за дальними светофорами, не создавая помех для движения судов (составов). Маломерным, прогулочным и спортивным парусным судам запрещается приближаться к шлюзу ближе дальних светофоров без разрешения диспетчера шлюза.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11. На ВВП Волго-Донского бассейна запрещается: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1) движение судов (составов) при визуальной видимости менее километра: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на </w:t>
      </w:r>
      <w:proofErr w:type="spellStart"/>
      <w:r>
        <w:t>Варваровском</w:t>
      </w:r>
      <w:proofErr w:type="spellEnd"/>
      <w:r>
        <w:t xml:space="preserve"> (2608,8 - 2635,2 км ВДСК), Береславском (2635,3 - 2645,4 км ВДСК), </w:t>
      </w:r>
      <w:proofErr w:type="spellStart"/>
      <w:r>
        <w:t>Карповском</w:t>
      </w:r>
      <w:proofErr w:type="spellEnd"/>
      <w:r>
        <w:t xml:space="preserve"> (2668,4 - 2682,7 км ВДСК) водохранилищах;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участке Цимлянского водохранилища от города Калач-на-Дону (9,0 км реки Дон) до 2761,6 км реки Дон;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реке Дон от устья реки Сосны (1603,0 км реки Дон) до города Калач-на-Дону (503,0 км реки Дон);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на всех участках реки Кубани, реки Протоки и Краснодарского водохранилища;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2) движение судов (составов) в темное время суток на участках: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реки Кубани от </w:t>
      </w:r>
      <w:proofErr w:type="spellStart"/>
      <w:r>
        <w:t>Тиховского</w:t>
      </w:r>
      <w:proofErr w:type="spellEnd"/>
      <w:r>
        <w:t xml:space="preserve"> шлюза (118,0 км реки Кубани) до устья;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реки Протоки от 127,0 км до устья;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lastRenderedPageBreak/>
        <w:t>3) расхождение и обгон судов (составов) на участке 1398,1 - 1398,3 км реки Дон;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4) движение и маневрирование на ВДСК при силе ветра 15 м/с и более составов грузоподъемностью более 2000 тонн в балласте, а также судов с отсутствующими или неисправными подруливающими устройствами;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5) заход в камеры шлюзов и выход из них судов (составов) грузоподъемностью свыше 2000 тонн в балласте при силе ветра 12 м/</w:t>
      </w:r>
      <w:proofErr w:type="gramStart"/>
      <w:r>
        <w:t>с</w:t>
      </w:r>
      <w:proofErr w:type="gramEnd"/>
      <w:r>
        <w:t xml:space="preserve"> и более </w:t>
      </w:r>
      <w:proofErr w:type="gramStart"/>
      <w:r>
        <w:t>в</w:t>
      </w:r>
      <w:proofErr w:type="gramEnd"/>
      <w:r>
        <w:t xml:space="preserve"> случае, если у причальной стенки шлюза ошвартованы суда;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6) буксировка плавучих кранов с не уложенной "по-походному" и не закрепленной грузовой стрелой, а на ВДСК, кроме того, без вспомогательного буксира.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12. В целях обеспечения достаточной управляемости состава буксировка по ВДСК барж, надводная высота борта которых в порожнем состоянии составляет четыре метра и более, допускается: при балластировке на осадку не менее 160 см, скорости ветра не более 10 м/с, мощности буксира не менее 441 кВт.</w:t>
      </w:r>
    </w:p>
    <w:p w:rsidR="00EE1056" w:rsidRDefault="00EE1056">
      <w:pPr>
        <w:pStyle w:val="ConsPlusNormal"/>
        <w:spacing w:before="220"/>
        <w:ind w:firstLine="540"/>
        <w:jc w:val="both"/>
      </w:pPr>
      <w:bookmarkStart w:id="3" w:name="P78"/>
      <w:bookmarkEnd w:id="3"/>
      <w:r>
        <w:t>13. Диспетчерское регулирование движения судов на ВВП Волго-Донского бассейна осуществляется: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от дальнего светофора, расположенного на верхней причальной стенке (2529,25 км реки Волги) Волгоградского гидроузла, до дальнего светофора, расположенного на нижней причальной стенке (2531,0 км реки Волги) шлюзов N 30, N 31;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от верхней границы Волго-Донского бассейна (2588,6 км реки Волги) до выхода из нижнего подходного канала шлюза N 15 (2875,6 км реки Дон);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от дальнего светофора, расположенного на верхней причальной стенке (2930,0 км реки Дон), до дальнего светофора, расположенного на нижней причальной стенке (2932,0 км реки Дон) Николаевского шлюза;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от дальнего светофора, расположенного на верхней причальной стенке (2973,5 км реки Дон), до дальнего светофора, расположенного на нижней причальной стенке (2974,5 км реки Дон) Константиновского шлюза;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от дальнего светофора, расположенного на верхней причальной стенке (0,0 км реки Воронеж), до дальнего светофора, расположенного на нижней причальной стенке Воронежского шлюза (0,6 км реки Воронеж);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>от дальнего светофора, расположенного на верхней причальной стенке (152,96 км реки Кубани), до дальнего светофора, расположенного на нижней причальной стенке (152,46 км реки Кубани) Федоровского шлюза.</w:t>
      </w:r>
    </w:p>
    <w:p w:rsidR="00EE1056" w:rsidRDefault="00EE1056">
      <w:pPr>
        <w:pStyle w:val="ConsPlusNormal"/>
        <w:spacing w:before="220"/>
        <w:ind w:firstLine="540"/>
        <w:jc w:val="both"/>
      </w:pPr>
      <w:r>
        <w:t xml:space="preserve">14. Мониторинг движения судов осуществляется на остальных участках ВВП Волго-Донского бассейна, не указанных в </w:t>
      </w:r>
      <w:hyperlink w:anchor="P78">
        <w:r>
          <w:rPr>
            <w:color w:val="0000FF"/>
          </w:rPr>
          <w:t>пункте 13</w:t>
        </w:r>
      </w:hyperlink>
      <w:r>
        <w:t xml:space="preserve"> настоящих Правил.</w:t>
      </w: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right"/>
        <w:outlineLvl w:val="1"/>
      </w:pPr>
      <w:r>
        <w:t>Приложение</w:t>
      </w:r>
    </w:p>
    <w:p w:rsidR="00EE1056" w:rsidRDefault="00EE1056">
      <w:pPr>
        <w:pStyle w:val="ConsPlusNormal"/>
        <w:jc w:val="right"/>
      </w:pPr>
      <w:r>
        <w:t>к Правилам движения и стоянки</w:t>
      </w:r>
    </w:p>
    <w:p w:rsidR="00EE1056" w:rsidRDefault="00EE1056">
      <w:pPr>
        <w:pStyle w:val="ConsPlusNormal"/>
        <w:jc w:val="right"/>
      </w:pPr>
      <w:r>
        <w:t>судов в Волго-Донском бассейне</w:t>
      </w:r>
    </w:p>
    <w:p w:rsidR="00EE1056" w:rsidRDefault="00EE1056">
      <w:pPr>
        <w:pStyle w:val="ConsPlusNormal"/>
        <w:jc w:val="right"/>
      </w:pPr>
      <w:r>
        <w:t>внутренних водных путей</w:t>
      </w:r>
    </w:p>
    <w:p w:rsidR="00EE1056" w:rsidRDefault="00EE1056">
      <w:pPr>
        <w:pStyle w:val="ConsPlusNormal"/>
        <w:jc w:val="right"/>
      </w:pPr>
      <w:r>
        <w:t xml:space="preserve">Российской Федерации </w:t>
      </w:r>
      <w:hyperlink w:anchor="P36">
        <w:r>
          <w:rPr>
            <w:color w:val="0000FF"/>
          </w:rPr>
          <w:t>(п. 3)</w:t>
        </w:r>
      </w:hyperlink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Title"/>
        <w:jc w:val="center"/>
      </w:pPr>
      <w:bookmarkStart w:id="4" w:name="P97"/>
      <w:bookmarkEnd w:id="4"/>
      <w:r>
        <w:t xml:space="preserve">ТИПОВЫЕ СХЕМЫ ФОРМИРОВАНИЯ СОСТАВОВ </w:t>
      </w:r>
      <w:hyperlink w:anchor="P609">
        <w:r>
          <w:rPr>
            <w:color w:val="0000FF"/>
          </w:rPr>
          <w:t>&lt;1&gt;</w:t>
        </w:r>
      </w:hyperlink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sectPr w:rsidR="00EE1056" w:rsidSect="00F403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097"/>
        <w:gridCol w:w="737"/>
        <w:gridCol w:w="1133"/>
        <w:gridCol w:w="850"/>
        <w:gridCol w:w="850"/>
        <w:gridCol w:w="850"/>
        <w:gridCol w:w="1870"/>
        <w:gridCol w:w="2324"/>
        <w:gridCol w:w="2664"/>
      </w:tblGrid>
      <w:tr w:rsidR="00EE1056">
        <w:tc>
          <w:tcPr>
            <w:tcW w:w="510" w:type="dxa"/>
            <w:vMerge w:val="restart"/>
          </w:tcPr>
          <w:p w:rsidR="00EE1056" w:rsidRDefault="00EE105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97" w:type="dxa"/>
            <w:vMerge w:val="restart"/>
          </w:tcPr>
          <w:p w:rsidR="00EE1056" w:rsidRDefault="00EE1056">
            <w:pPr>
              <w:pStyle w:val="ConsPlusNormal"/>
              <w:jc w:val="center"/>
            </w:pPr>
            <w:r>
              <w:t>Наименование участка внутренних водных путей Российской Федерации</w:t>
            </w:r>
          </w:p>
        </w:tc>
        <w:tc>
          <w:tcPr>
            <w:tcW w:w="737" w:type="dxa"/>
            <w:vMerge w:val="restart"/>
          </w:tcPr>
          <w:p w:rsidR="00EE1056" w:rsidRDefault="00EE1056">
            <w:pPr>
              <w:pStyle w:val="ConsPlusNormal"/>
              <w:jc w:val="center"/>
            </w:pPr>
            <w:r>
              <w:t xml:space="preserve">Протяженность участка, </w:t>
            </w:r>
            <w:proofErr w:type="gramStart"/>
            <w:r>
              <w:t>км</w:t>
            </w:r>
            <w:proofErr w:type="gramEnd"/>
          </w:p>
        </w:tc>
        <w:tc>
          <w:tcPr>
            <w:tcW w:w="1133" w:type="dxa"/>
            <w:vMerge w:val="restart"/>
          </w:tcPr>
          <w:p w:rsidR="00EE1056" w:rsidRDefault="00EE1056">
            <w:pPr>
              <w:pStyle w:val="ConsPlusNormal"/>
              <w:jc w:val="center"/>
            </w:pPr>
            <w:r>
              <w:t>Минимально допустимая мощность буксира/толкача, кВт</w:t>
            </w:r>
          </w:p>
        </w:tc>
        <w:tc>
          <w:tcPr>
            <w:tcW w:w="850" w:type="dxa"/>
            <w:vMerge w:val="restart"/>
          </w:tcPr>
          <w:p w:rsidR="00EE1056" w:rsidRDefault="00EE1056">
            <w:pPr>
              <w:pStyle w:val="ConsPlusNormal"/>
              <w:jc w:val="center"/>
            </w:pPr>
            <w:r>
              <w:t>Максимальная грузоподъемность состава, тонн</w:t>
            </w:r>
          </w:p>
        </w:tc>
        <w:tc>
          <w:tcPr>
            <w:tcW w:w="850" w:type="dxa"/>
            <w:vMerge w:val="restart"/>
          </w:tcPr>
          <w:p w:rsidR="00EE1056" w:rsidRDefault="00EE1056">
            <w:pPr>
              <w:pStyle w:val="ConsPlusNormal"/>
              <w:jc w:val="center"/>
            </w:pPr>
            <w:r>
              <w:t xml:space="preserve">Максимальная габаритная длина состава, </w:t>
            </w:r>
            <w:proofErr w:type="gramStart"/>
            <w:r>
              <w:t>м</w:t>
            </w:r>
            <w:proofErr w:type="gramEnd"/>
          </w:p>
        </w:tc>
        <w:tc>
          <w:tcPr>
            <w:tcW w:w="850" w:type="dxa"/>
            <w:vMerge w:val="restart"/>
          </w:tcPr>
          <w:p w:rsidR="00EE1056" w:rsidRDefault="00EE1056">
            <w:pPr>
              <w:pStyle w:val="ConsPlusNormal"/>
              <w:jc w:val="center"/>
            </w:pPr>
            <w:r>
              <w:t xml:space="preserve">Максимальная габаритная ширина состава, </w:t>
            </w:r>
            <w:proofErr w:type="gramStart"/>
            <w:r>
              <w:t>м</w:t>
            </w:r>
            <w:proofErr w:type="gramEnd"/>
          </w:p>
        </w:tc>
        <w:tc>
          <w:tcPr>
            <w:tcW w:w="4194" w:type="dxa"/>
            <w:gridSpan w:val="2"/>
          </w:tcPr>
          <w:p w:rsidR="00EE1056" w:rsidRDefault="00EE1056">
            <w:pPr>
              <w:pStyle w:val="ConsPlusNormal"/>
              <w:jc w:val="center"/>
            </w:pPr>
            <w:r>
              <w:t>Типовая схема формирования состава</w:t>
            </w:r>
          </w:p>
        </w:tc>
        <w:tc>
          <w:tcPr>
            <w:tcW w:w="2664" w:type="dxa"/>
            <w:vMerge w:val="restart"/>
          </w:tcPr>
          <w:p w:rsidR="00EE1056" w:rsidRDefault="00EE1056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tcBorders>
              <w:bottom w:val="nil"/>
            </w:tcBorders>
          </w:tcPr>
          <w:p w:rsidR="00EE1056" w:rsidRDefault="00EE1056">
            <w:pPr>
              <w:pStyle w:val="ConsPlusNormal"/>
              <w:jc w:val="center"/>
            </w:pPr>
            <w:r>
              <w:t>Применяемые обозначения:</w:t>
            </w: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</w:tcPr>
          <w:p w:rsidR="00EE1056" w:rsidRDefault="00EE1056">
            <w:pPr>
              <w:pStyle w:val="ConsPlusNormal"/>
            </w:pPr>
            <w:r>
              <w:rPr>
                <w:noProof/>
                <w:position w:val="-8"/>
              </w:rPr>
              <w:drawing>
                <wp:inline distT="0" distB="0" distL="0" distR="0">
                  <wp:extent cx="455930" cy="2482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93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EE1056" w:rsidRDefault="00EE1056">
            <w:pPr>
              <w:pStyle w:val="ConsPlusNormal"/>
            </w:pPr>
            <w:r>
              <w:t>- буксир/толкач</w:t>
            </w: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870" w:type="dxa"/>
            <w:tcBorders>
              <w:top w:val="nil"/>
              <w:bottom w:val="nil"/>
              <w:right w:val="nil"/>
            </w:tcBorders>
          </w:tcPr>
          <w:p w:rsidR="00EE1056" w:rsidRDefault="00EE1056">
            <w:pPr>
              <w:pStyle w:val="ConsPlusNormal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881380" cy="27813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38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</w:tcBorders>
          </w:tcPr>
          <w:p w:rsidR="00EE1056" w:rsidRDefault="00EE1056">
            <w:pPr>
              <w:pStyle w:val="ConsPlusNormal"/>
            </w:pPr>
            <w:r>
              <w:t>- буксируемый/толкаемый объект</w:t>
            </w: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870" w:type="dxa"/>
            <w:tcBorders>
              <w:top w:val="nil"/>
              <w:right w:val="nil"/>
            </w:tcBorders>
          </w:tcPr>
          <w:p w:rsidR="00EE1056" w:rsidRDefault="00EE1056">
            <w:pPr>
              <w:pStyle w:val="ConsPlusNormal"/>
            </w:pPr>
            <w:r>
              <w:rPr>
                <w:noProof/>
                <w:position w:val="-11"/>
              </w:rPr>
              <w:drawing>
                <wp:inline distT="0" distB="0" distL="0" distR="0">
                  <wp:extent cx="942340" cy="28511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</w:tcBorders>
          </w:tcPr>
          <w:p w:rsidR="00EE1056" w:rsidRDefault="00EE1056">
            <w:pPr>
              <w:pStyle w:val="ConsPlusNormal"/>
            </w:pPr>
            <w:r>
              <w:t>- самоходное судно</w:t>
            </w: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</w:tcPr>
          <w:p w:rsidR="00EE1056" w:rsidRDefault="00EE1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7" w:type="dxa"/>
          </w:tcPr>
          <w:p w:rsidR="00EE1056" w:rsidRDefault="00EE1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EE1056" w:rsidRDefault="00EE105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</w:tcPr>
          <w:p w:rsidR="00EE1056" w:rsidRDefault="00EE10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EE1056" w:rsidRDefault="00EE10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EE1056" w:rsidRDefault="00EE10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EE1056" w:rsidRDefault="00EE105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194" w:type="dxa"/>
            <w:gridSpan w:val="2"/>
          </w:tcPr>
          <w:p w:rsidR="00EE1056" w:rsidRDefault="00EE10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64" w:type="dxa"/>
          </w:tcPr>
          <w:p w:rsidR="00EE1056" w:rsidRDefault="00EE1056">
            <w:pPr>
              <w:pStyle w:val="ConsPlusNormal"/>
              <w:jc w:val="center"/>
            </w:pPr>
            <w:r>
              <w:t>9</w:t>
            </w:r>
          </w:p>
        </w:tc>
      </w:tr>
      <w:tr w:rsidR="00EE1056">
        <w:tc>
          <w:tcPr>
            <w:tcW w:w="13885" w:type="dxa"/>
            <w:gridSpan w:val="10"/>
            <w:vAlign w:val="center"/>
          </w:tcPr>
          <w:p w:rsidR="00EE1056" w:rsidRDefault="00EE1056">
            <w:pPr>
              <w:pStyle w:val="ConsPlusNormal"/>
              <w:jc w:val="center"/>
              <w:outlineLvl w:val="2"/>
            </w:pPr>
            <w:r>
              <w:t>ВОЛГО-ДОНСКОЙ СУДОХОДНЫЙ КАНАЛ ИМЕНИ В.И. ЛЕНИНА</w:t>
            </w: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река Волга </w:t>
            </w:r>
            <w:proofErr w:type="gramStart"/>
            <w:r>
              <w:t>подходной</w:t>
            </w:r>
            <w:proofErr w:type="gramEnd"/>
            <w:r>
              <w:t xml:space="preserve"> канал шлюза N 1 - подходной канал шлюза N 13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1834515" cy="523240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река Волга </w:t>
            </w:r>
            <w:proofErr w:type="gramStart"/>
            <w:r>
              <w:t>подходной</w:t>
            </w:r>
            <w:proofErr w:type="gramEnd"/>
            <w:r>
              <w:t xml:space="preserve"> канал шлюза N 1 - подходной канал шлюза N 13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3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221 </w:t>
            </w:r>
            <w:hyperlink w:anchor="P158">
              <w:r>
                <w:rPr>
                  <w:color w:val="0000FF"/>
                </w:rPr>
                <w:t>&lt;*&gt;</w:t>
              </w:r>
            </w:hyperlink>
            <w:r>
              <w:t xml:space="preserve"> 331 </w:t>
            </w:r>
            <w:hyperlink w:anchor="P159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7"/>
              </w:rPr>
              <w:drawing>
                <wp:inline distT="0" distB="0" distL="0" distR="0">
                  <wp:extent cx="2397125" cy="48641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125" cy="48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баржи, плавкрана, плавучих объектов с учетом длины буксирного троса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EE1056" w:rsidRDefault="00EE1056">
            <w:pPr>
              <w:pStyle w:val="ConsPlusNormal"/>
              <w:jc w:val="center"/>
            </w:pPr>
            <w:bookmarkStart w:id="5" w:name="P158"/>
            <w:bookmarkEnd w:id="5"/>
            <w:r>
              <w:t>&lt;*&gt; - буксир</w:t>
            </w: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tcBorders>
              <w:top w:val="nil"/>
            </w:tcBorders>
          </w:tcPr>
          <w:p w:rsidR="00EE1056" w:rsidRDefault="00EE1056">
            <w:pPr>
              <w:pStyle w:val="ConsPlusNormal"/>
              <w:jc w:val="center"/>
            </w:pPr>
            <w:bookmarkStart w:id="6" w:name="P159"/>
            <w:bookmarkEnd w:id="6"/>
            <w:r>
              <w:t>&lt;**&gt; - толкач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река Волга </w:t>
            </w:r>
            <w:proofErr w:type="gramStart"/>
            <w:r>
              <w:t>подходной</w:t>
            </w:r>
            <w:proofErr w:type="gramEnd"/>
            <w:r>
              <w:t xml:space="preserve"> канал шлюза N 1 - подходной канал шлюза N 13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1840865" cy="52641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плавкрана в целях перестановки в местах производства работ с развернутой назад стрелой (в сторону кормы толкача)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река Волга </w:t>
            </w:r>
            <w:proofErr w:type="gramStart"/>
            <w:r>
              <w:t>подходной</w:t>
            </w:r>
            <w:proofErr w:type="gramEnd"/>
            <w:r>
              <w:t xml:space="preserve"> канал шлюза N 1 - подходной канал шлюза N 13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101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45"/>
              </w:rPr>
              <w:drawing>
                <wp:inline distT="0" distB="0" distL="0" distR="0">
                  <wp:extent cx="1853565" cy="713740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3565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плавкрана (1) с развернутой назад стрелой (в сторону кормы толкача)</w:t>
            </w:r>
          </w:p>
        </w:tc>
      </w:tr>
      <w:tr w:rsidR="00EE1056">
        <w:tc>
          <w:tcPr>
            <w:tcW w:w="13885" w:type="dxa"/>
            <w:gridSpan w:val="10"/>
          </w:tcPr>
          <w:p w:rsidR="00EE1056" w:rsidRDefault="00EE1056">
            <w:pPr>
              <w:pStyle w:val="ConsPlusNormal"/>
              <w:jc w:val="center"/>
              <w:outlineLvl w:val="2"/>
            </w:pPr>
            <w:r>
              <w:t>ЦИМЛЯНСКОЕ ВОДОХРАНИЛИЩЕ</w:t>
            </w: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1827530" cy="51943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530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 (ограничение по высоте волны 1,5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41"/>
              </w:rPr>
              <w:drawing>
                <wp:inline distT="0" distB="0" distL="0" distR="0">
                  <wp:extent cx="2457450" cy="670560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плавкрана (1) с уложенной стрелой в сторону кормы толкаемого объекта (2) (ограничение по высоте волны 1,2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55"/>
              </w:rPr>
              <w:drawing>
                <wp:inline distT="0" distB="0" distL="0" distR="0">
                  <wp:extent cx="1465580" cy="84518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558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 (ограничение по высоте волны 1,0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55"/>
              </w:rPr>
              <w:drawing>
                <wp:inline distT="0" distB="0" distL="0" distR="0">
                  <wp:extent cx="1991360" cy="8477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 (ограничение по высоте волны 1,0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2"/>
              </w:rPr>
              <w:drawing>
                <wp:inline distT="0" distB="0" distL="0" distR="0">
                  <wp:extent cx="2447290" cy="4286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729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 (ограничение по высоте волны 1,0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47"/>
              </w:rPr>
              <w:drawing>
                <wp:inline distT="0" distB="0" distL="0" distR="0">
                  <wp:extent cx="1203325" cy="737870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737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баржи-приставки, закрепленной за самоходным судном (ограничение по высоте волны 1,0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1"/>
              </w:rPr>
              <w:drawing>
                <wp:inline distT="0" distB="0" distL="0" distR="0">
                  <wp:extent cx="2292985" cy="40957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98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баржи-приставки, закрепленной за самоходным судном (ограничение по высоте волны 1,2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7"/>
              </w:rPr>
              <w:drawing>
                <wp:inline distT="0" distB="0" distL="0" distR="0">
                  <wp:extent cx="1847850" cy="49339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 без учета длины буксирного троса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2387600" cy="49974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без учета длины буксирного троса (ограничение по высоте волны 1,5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221 </w:t>
            </w:r>
            <w:hyperlink w:anchor="P3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331 </w:t>
            </w:r>
            <w:hyperlink w:anchor="P3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441 </w:t>
            </w:r>
            <w:hyperlink w:anchor="P3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3300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585 </w:t>
            </w:r>
            <w:hyperlink w:anchor="P3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4000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 w:val="restart"/>
            <w:tcBorders>
              <w:top w:val="nil"/>
            </w:tcBorders>
          </w:tcPr>
          <w:p w:rsidR="00EE1056" w:rsidRDefault="00EE1056">
            <w:pPr>
              <w:pStyle w:val="ConsPlusNormal"/>
              <w:jc w:val="center"/>
            </w:pPr>
            <w:bookmarkStart w:id="7" w:name="P396"/>
            <w:bookmarkEnd w:id="7"/>
            <w:r>
              <w:t>&lt;*&gt; - суммарно для толкача и буксира</w:t>
            </w: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883 </w:t>
            </w:r>
            <w:hyperlink w:anchor="P396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17"/>
              </w:rPr>
              <w:drawing>
                <wp:inline distT="0" distB="0" distL="0" distR="0">
                  <wp:extent cx="2584450" cy="365760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Схема буксировки барж без учета длины </w:t>
            </w:r>
            <w:r>
              <w:lastRenderedPageBreak/>
              <w:t>буксирного троса (ограничение по высоте волны 1,2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221 </w:t>
            </w:r>
            <w:hyperlink w:anchor="P42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331 </w:t>
            </w:r>
            <w:hyperlink w:anchor="P42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 w:val="restart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441 </w:t>
            </w:r>
            <w:hyperlink w:anchor="P42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rPr>
          <w:trHeight w:val="269"/>
        </w:trPr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 w:val="restart"/>
            <w:tcBorders>
              <w:top w:val="nil"/>
            </w:tcBorders>
          </w:tcPr>
          <w:p w:rsidR="00EE1056" w:rsidRDefault="00EE1056">
            <w:pPr>
              <w:pStyle w:val="ConsPlusNormal"/>
              <w:jc w:val="center"/>
            </w:pPr>
            <w:bookmarkStart w:id="8" w:name="P420"/>
            <w:bookmarkEnd w:id="8"/>
            <w:r>
              <w:t>&lt;*&gt; - суммарно для толкача и буксира</w:t>
            </w: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585 </w:t>
            </w:r>
            <w:hyperlink w:anchor="P42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16,9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  <w:tcBorders>
              <w:top w:val="nil"/>
            </w:tcBorders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44"/>
              </w:rPr>
              <w:drawing>
                <wp:inline distT="0" distB="0" distL="0" distR="0">
                  <wp:extent cx="1807210" cy="70040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721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 без учета длины буксирного троса (ограничение по высоте волны 1,0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г. Калач-на-Дону - г. Волгодонск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193</w:t>
            </w:r>
          </w:p>
        </w:tc>
        <w:tc>
          <w:tcPr>
            <w:tcW w:w="1133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39"/>
              </w:rPr>
              <w:drawing>
                <wp:inline distT="0" distB="0" distL="0" distR="0">
                  <wp:extent cx="2584450" cy="64198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4450" cy="64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 без учета длины буксирного троса (ограничение по высоте волны 1,0 м)</w:t>
            </w: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blPrEx>
          <w:tblBorders>
            <w:insideH w:val="nil"/>
          </w:tblBorders>
        </w:tblPrEx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4500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585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7500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34,0</w:t>
            </w: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vMerge/>
          </w:tcPr>
          <w:p w:rsidR="00EE1056" w:rsidRDefault="00EE1056">
            <w:pPr>
              <w:pStyle w:val="ConsPlusNormal"/>
            </w:pPr>
          </w:p>
        </w:tc>
      </w:tr>
      <w:tr w:rsidR="00EE1056">
        <w:tc>
          <w:tcPr>
            <w:tcW w:w="13885" w:type="dxa"/>
            <w:gridSpan w:val="10"/>
            <w:vAlign w:val="center"/>
          </w:tcPr>
          <w:p w:rsidR="00EE1056" w:rsidRDefault="00EE1056">
            <w:pPr>
              <w:pStyle w:val="ConsPlusNormal"/>
              <w:jc w:val="center"/>
              <w:outlineLvl w:val="2"/>
            </w:pPr>
            <w:r>
              <w:t>РЕКА КУБАНЬ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proofErr w:type="spellStart"/>
            <w:r>
              <w:t>Васюринская</w:t>
            </w:r>
            <w:proofErr w:type="spellEnd"/>
            <w:r>
              <w:t xml:space="preserve"> (288,0 км) - железнодорожный мост в г. Краснодаре (228,0 км)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105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9"/>
              </w:rPr>
              <w:drawing>
                <wp:inline distT="0" distB="0" distL="0" distR="0">
                  <wp:extent cx="1837055" cy="519430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055" cy="519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lastRenderedPageBreak/>
              <w:t>18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proofErr w:type="spellStart"/>
            <w:r>
              <w:t>Васюринская</w:t>
            </w:r>
            <w:proofErr w:type="spellEnd"/>
            <w:r>
              <w:t xml:space="preserve"> (288,0 км) - железнодорожный мост в г. Краснодаре (228,0 км)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1500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14,3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6"/>
              </w:rPr>
              <w:drawing>
                <wp:inline distT="0" distB="0" distL="0" distR="0">
                  <wp:extent cx="1851025" cy="47942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025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 с учетом длины буксирного троса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proofErr w:type="spellStart"/>
            <w:r>
              <w:t>Васюринская</w:t>
            </w:r>
            <w:proofErr w:type="spellEnd"/>
            <w:r>
              <w:t xml:space="preserve"> (288,0 км) - железнодорожный мост в г. Краснодаре (228,0 км)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10,5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2404110" cy="49974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11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плавучего крана с учетом длины буксирного троса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proofErr w:type="gramStart"/>
            <w:r>
              <w:t>Железнодорожный мост (228,0 км - Тургеневский мост (222,7 км) в г. Краснодаре</w:t>
            </w:r>
            <w:proofErr w:type="gramEnd"/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5,3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2400935" cy="49974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935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 с учетом длины буксирного троса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Тургеневский мост (222,7 км) в г. Краснодаре - устье (г. Темрюк)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222,7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43"/>
              </w:rPr>
              <w:drawing>
                <wp:inline distT="0" distB="0" distL="0" distR="0">
                  <wp:extent cx="2183130" cy="69088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брандвахты и земснаряда (</w:t>
            </w:r>
            <w:proofErr w:type="spellStart"/>
            <w:r>
              <w:t>гидроперегружателя</w:t>
            </w:r>
            <w:proofErr w:type="spellEnd"/>
            <w:r>
              <w:t>)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Тургеневский мост (222,7 км) в г. Краснодаре - устье (г. Темрюк)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222,7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823720" cy="50673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3720" cy="506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Тургеневский мост (222,7 км) в г. Краснодаре - устье (г. Темрюк)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222,7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7"/>
              </w:rPr>
              <w:drawing>
                <wp:inline distT="0" distB="0" distL="0" distR="0">
                  <wp:extent cx="1857375" cy="493395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 с учетом длины буксирного троса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lastRenderedPageBreak/>
              <w:t>24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Тургеневский мост (222,7 км) в г. Краснодаре - устье (г. Темрюк)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222,7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1834515" cy="52324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плавучего крана грузоподъемностью 5 тонн</w:t>
            </w: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25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Тургеневский мост (222,7 км) в г. Краснодаре - устье (г. Темрюк)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222,7</w:t>
            </w:r>
          </w:p>
        </w:tc>
        <w:tc>
          <w:tcPr>
            <w:tcW w:w="1133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33"/>
              </w:rPr>
              <w:drawing>
                <wp:inline distT="0" distB="0" distL="0" distR="0">
                  <wp:extent cx="2511425" cy="563245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Схема буксировки </w:t>
            </w:r>
            <w:proofErr w:type="spellStart"/>
            <w:r>
              <w:t>гидроперегружателя</w:t>
            </w:r>
            <w:proofErr w:type="spellEnd"/>
            <w:r>
              <w:t xml:space="preserve"> с брандвахтой</w:t>
            </w: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1 - </w:t>
            </w:r>
            <w:proofErr w:type="spellStart"/>
            <w:r>
              <w:t>гидроперегружатель</w:t>
            </w:r>
            <w:proofErr w:type="spellEnd"/>
          </w:p>
          <w:p w:rsidR="00EE1056" w:rsidRDefault="00EE1056">
            <w:pPr>
              <w:pStyle w:val="ConsPlusNormal"/>
              <w:jc w:val="center"/>
            </w:pPr>
            <w:r>
              <w:t>2 - брандвахта</w:t>
            </w:r>
          </w:p>
        </w:tc>
      </w:tr>
      <w:tr w:rsidR="00EE1056">
        <w:tc>
          <w:tcPr>
            <w:tcW w:w="13885" w:type="dxa"/>
            <w:gridSpan w:val="10"/>
            <w:vAlign w:val="center"/>
          </w:tcPr>
          <w:p w:rsidR="00EE1056" w:rsidRDefault="00EE1056">
            <w:pPr>
              <w:pStyle w:val="ConsPlusNormal"/>
              <w:jc w:val="center"/>
              <w:outlineLvl w:val="2"/>
            </w:pPr>
            <w:r>
              <w:t>РЕКА ПРОТОКА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125 км реки Кубань - устье (пос. Ачуево)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1834515" cy="523240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51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125 км реки Кубань - устье (пос. Ачуево)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91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12,2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28"/>
              </w:rPr>
              <w:drawing>
                <wp:inline distT="0" distB="0" distL="0" distR="0">
                  <wp:extent cx="1864360" cy="49593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360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баржи с учетом длины буксирного троса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125 км реки Кубань - устье (пос. Ачуево)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12,0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30"/>
              </w:rPr>
              <w:drawing>
                <wp:inline distT="0" distB="0" distL="0" distR="0">
                  <wp:extent cx="1830705" cy="523240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0705" cy="523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плавучего крана грузоподъемностью 5 тонн</w:t>
            </w:r>
          </w:p>
        </w:tc>
      </w:tr>
      <w:tr w:rsidR="00EE1056">
        <w:tc>
          <w:tcPr>
            <w:tcW w:w="51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29</w:t>
            </w:r>
          </w:p>
        </w:tc>
        <w:tc>
          <w:tcPr>
            <w:tcW w:w="209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125 км реки Кубань - устье (пос. Ачуево)</w:t>
            </w:r>
          </w:p>
        </w:tc>
        <w:tc>
          <w:tcPr>
            <w:tcW w:w="737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33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120</w:t>
            </w:r>
          </w:p>
        </w:tc>
        <w:tc>
          <w:tcPr>
            <w:tcW w:w="850" w:type="dxa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194" w:type="dxa"/>
            <w:gridSpan w:val="2"/>
            <w:vMerge w:val="restart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33"/>
              </w:rPr>
              <w:drawing>
                <wp:inline distT="0" distB="0" distL="0" distR="0">
                  <wp:extent cx="2507615" cy="560070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761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tcBorders>
              <w:bottom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Схема буксировки </w:t>
            </w:r>
            <w:proofErr w:type="spellStart"/>
            <w:r>
              <w:t>гидроперегружателя</w:t>
            </w:r>
            <w:proofErr w:type="spellEnd"/>
            <w:r>
              <w:t xml:space="preserve"> с брандвахтой</w:t>
            </w:r>
          </w:p>
        </w:tc>
      </w:tr>
      <w:tr w:rsidR="00EE1056">
        <w:tc>
          <w:tcPr>
            <w:tcW w:w="51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09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737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1133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850" w:type="dxa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4194" w:type="dxa"/>
            <w:gridSpan w:val="2"/>
            <w:vMerge/>
          </w:tcPr>
          <w:p w:rsidR="00EE1056" w:rsidRDefault="00EE1056">
            <w:pPr>
              <w:pStyle w:val="ConsPlusNormal"/>
            </w:pPr>
          </w:p>
        </w:tc>
        <w:tc>
          <w:tcPr>
            <w:tcW w:w="2664" w:type="dxa"/>
            <w:tcBorders>
              <w:top w:val="nil"/>
            </w:tcBorders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 xml:space="preserve">1 - </w:t>
            </w:r>
            <w:proofErr w:type="spellStart"/>
            <w:r>
              <w:t>гидроперегружатель</w:t>
            </w:r>
            <w:proofErr w:type="spellEnd"/>
          </w:p>
          <w:p w:rsidR="00EE1056" w:rsidRDefault="00EE1056">
            <w:pPr>
              <w:pStyle w:val="ConsPlusNormal"/>
              <w:jc w:val="center"/>
            </w:pPr>
            <w:r>
              <w:t>2 - брандвахта</w:t>
            </w:r>
          </w:p>
        </w:tc>
      </w:tr>
      <w:tr w:rsidR="00EE1056">
        <w:tc>
          <w:tcPr>
            <w:tcW w:w="51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lastRenderedPageBreak/>
              <w:t>30</w:t>
            </w:r>
          </w:p>
        </w:tc>
        <w:tc>
          <w:tcPr>
            <w:tcW w:w="209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125 км реки Кубань - устье (пос. Ачуево)</w:t>
            </w:r>
          </w:p>
        </w:tc>
        <w:tc>
          <w:tcPr>
            <w:tcW w:w="737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133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85</w:t>
            </w:r>
          </w:p>
        </w:tc>
        <w:tc>
          <w:tcPr>
            <w:tcW w:w="850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194" w:type="dxa"/>
            <w:gridSpan w:val="2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rPr>
                <w:noProof/>
                <w:position w:val="-44"/>
              </w:rPr>
              <w:drawing>
                <wp:inline distT="0" distB="0" distL="0" distR="0">
                  <wp:extent cx="2183130" cy="70040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700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4" w:type="dxa"/>
            <w:vAlign w:val="center"/>
          </w:tcPr>
          <w:p w:rsidR="00EE1056" w:rsidRDefault="00EE1056">
            <w:pPr>
              <w:pStyle w:val="ConsPlusNormal"/>
              <w:jc w:val="center"/>
            </w:pPr>
            <w:r>
              <w:t>Схема буксировки брандвахты и земснаряда (</w:t>
            </w:r>
            <w:proofErr w:type="spellStart"/>
            <w:r>
              <w:t>гидроперегружателя</w:t>
            </w:r>
            <w:proofErr w:type="spellEnd"/>
            <w:r>
              <w:t>)</w:t>
            </w:r>
          </w:p>
        </w:tc>
      </w:tr>
    </w:tbl>
    <w:p w:rsidR="00EE1056" w:rsidRDefault="00EE1056">
      <w:pPr>
        <w:pStyle w:val="ConsPlusNormal"/>
        <w:sectPr w:rsidR="00EE105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ind w:firstLine="540"/>
        <w:jc w:val="both"/>
      </w:pPr>
      <w:r>
        <w:t>--------------------------------</w:t>
      </w:r>
    </w:p>
    <w:p w:rsidR="00EE1056" w:rsidRDefault="00EE1056">
      <w:pPr>
        <w:pStyle w:val="ConsPlusNormal"/>
        <w:spacing w:before="220"/>
        <w:ind w:firstLine="540"/>
        <w:jc w:val="both"/>
      </w:pPr>
      <w:bookmarkStart w:id="9" w:name="P609"/>
      <w:bookmarkEnd w:id="9"/>
      <w:r>
        <w:t>&lt;1</w:t>
      </w:r>
      <w:proofErr w:type="gramStart"/>
      <w:r>
        <w:t>&gt; П</w:t>
      </w:r>
      <w:proofErr w:type="gramEnd"/>
      <w:r>
        <w:t>ри выполнении всех условий по формированию состава должна быть обеспечена балластировка барж для достаточной управляемости состава.</w:t>
      </w: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jc w:val="both"/>
      </w:pPr>
    </w:p>
    <w:p w:rsidR="00EE1056" w:rsidRDefault="00EE10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06C8" w:rsidRDefault="005306C8"/>
    <w:sectPr w:rsidR="005306C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56"/>
    <w:rsid w:val="005306C8"/>
    <w:rsid w:val="00EE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10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1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10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1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10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10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10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1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E10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E1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EE105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EE105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EE10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EE105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EE105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1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0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2D57F3C8A3D7F1ACAA28FD62A8571C9454D0E3E32283032EF35D248DBF3A44B250B729F9DF2C3A4078A9B2B2DE4E1825B9E17C2E910A5BF3h1BAK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D57F3C8A3D7F1ACAA28FD62A8571C9454D0E3E32283032EF35D248DBF3A44B250B729FBD62E301C2CE6B3EE9A120B24B2E17F2C8Dh0BAK" TargetMode="Externa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hyperlink" Target="consultantplus://offline/ref=2D57F3C8A3D7F1ACAA28FD62A8571C9454D0E3E32283032EF35D248DBF3A44B250B729FBD62E301C2CE6B3EE9A120B24B2E17F2C8Dh0BAK" TargetMode="Externa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 Алексей Николаевич</dc:creator>
  <cp:lastModifiedBy>Васильев Алексей Николаевич</cp:lastModifiedBy>
  <cp:revision>1</cp:revision>
  <dcterms:created xsi:type="dcterms:W3CDTF">2022-12-09T10:01:00Z</dcterms:created>
  <dcterms:modified xsi:type="dcterms:W3CDTF">2022-12-09T10:01:00Z</dcterms:modified>
</cp:coreProperties>
</file>